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1F15" w14:textId="686440F0" w:rsidR="00FB5361" w:rsidRPr="00B64D3C" w:rsidRDefault="00FB5361" w:rsidP="00FB5361">
      <w:pPr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B64D3C">
        <w:rPr>
          <w:rFonts w:ascii="Times New Roman" w:hAnsi="Times New Roman" w:cs="Times New Roman"/>
          <w:b/>
          <w:bCs/>
          <w:sz w:val="28"/>
          <w:szCs w:val="28"/>
          <w:lang w:val="ru"/>
        </w:rPr>
        <w:t>Задание к теме 1</w:t>
      </w:r>
    </w:p>
    <w:p w14:paraId="0A4F5A51" w14:textId="5C7A4AE0" w:rsidR="00FB5361" w:rsidRPr="003B3C4F" w:rsidRDefault="00DA27C1" w:rsidP="00D625A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3B3C4F">
        <w:rPr>
          <w:rFonts w:ascii="Times New Roman" w:hAnsi="Times New Roman" w:cs="Times New Roman"/>
          <w:sz w:val="28"/>
          <w:szCs w:val="28"/>
          <w:lang w:val="ru"/>
        </w:rPr>
        <w:t xml:space="preserve">1/ </w:t>
      </w:r>
      <w:r w:rsidR="00D625A1" w:rsidRPr="003B3C4F">
        <w:rPr>
          <w:rFonts w:ascii="Times New Roman" w:hAnsi="Times New Roman" w:cs="Times New Roman"/>
          <w:sz w:val="28"/>
          <w:szCs w:val="28"/>
          <w:lang w:val="ru"/>
        </w:rPr>
        <w:t xml:space="preserve">Прочтите </w:t>
      </w:r>
      <w:r w:rsidR="00FB5361" w:rsidRPr="003B3C4F">
        <w:rPr>
          <w:rFonts w:ascii="Times New Roman" w:hAnsi="Times New Roman" w:cs="Times New Roman"/>
          <w:sz w:val="28"/>
          <w:szCs w:val="28"/>
          <w:lang w:val="ru"/>
        </w:rPr>
        <w:t>абстракт статьи «</w:t>
      </w:r>
      <w:r w:rsidRPr="003B3C4F">
        <w:rPr>
          <w:rFonts w:ascii="Times New Roman" w:hAnsi="Times New Roman" w:cs="Times New Roman"/>
          <w:sz w:val="28"/>
          <w:szCs w:val="28"/>
          <w:lang w:val="ru"/>
        </w:rPr>
        <w:t>Анализ минимизации затрат применения</w:t>
      </w:r>
      <w:r w:rsidR="00FB5361" w:rsidRPr="003B3C4F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3B3C4F">
        <w:rPr>
          <w:rFonts w:ascii="Times New Roman" w:hAnsi="Times New Roman" w:cs="Times New Roman"/>
          <w:sz w:val="28"/>
          <w:szCs w:val="28"/>
          <w:lang w:val="ru"/>
        </w:rPr>
        <w:t>стимуляторов эритропоэза короткого</w:t>
      </w:r>
      <w:r w:rsidR="00FB5361" w:rsidRPr="003B3C4F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3B3C4F">
        <w:rPr>
          <w:rFonts w:ascii="Times New Roman" w:hAnsi="Times New Roman" w:cs="Times New Roman"/>
          <w:sz w:val="28"/>
          <w:szCs w:val="28"/>
          <w:lang w:val="ru"/>
        </w:rPr>
        <w:t>и длительного действия для коррекции</w:t>
      </w:r>
      <w:r w:rsidR="00FB5361" w:rsidRPr="003B3C4F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3B3C4F">
        <w:rPr>
          <w:rFonts w:ascii="Times New Roman" w:hAnsi="Times New Roman" w:cs="Times New Roman"/>
          <w:sz w:val="28"/>
          <w:szCs w:val="28"/>
          <w:lang w:val="ru"/>
        </w:rPr>
        <w:t>нефрогенной</w:t>
      </w:r>
      <w:proofErr w:type="spellEnd"/>
      <w:r w:rsidRPr="003B3C4F">
        <w:rPr>
          <w:rFonts w:ascii="Times New Roman" w:hAnsi="Times New Roman" w:cs="Times New Roman"/>
          <w:sz w:val="28"/>
          <w:szCs w:val="28"/>
          <w:lang w:val="ru"/>
        </w:rPr>
        <w:t xml:space="preserve"> анемии</w:t>
      </w:r>
      <w:r w:rsidR="00FB5361" w:rsidRPr="003B3C4F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3B3C4F">
        <w:rPr>
          <w:rFonts w:ascii="Times New Roman" w:hAnsi="Times New Roman" w:cs="Times New Roman"/>
          <w:sz w:val="28"/>
          <w:szCs w:val="28"/>
          <w:lang w:val="ru"/>
        </w:rPr>
        <w:t>на фоне заместительной терапии</w:t>
      </w:r>
      <w:r w:rsidR="00FB5361" w:rsidRPr="003B3C4F">
        <w:rPr>
          <w:rFonts w:ascii="Times New Roman" w:hAnsi="Times New Roman" w:cs="Times New Roman"/>
          <w:sz w:val="28"/>
          <w:szCs w:val="28"/>
          <w:lang w:val="ru"/>
        </w:rPr>
        <w:t>»</w:t>
      </w:r>
      <w:r w:rsidR="00D625A1" w:rsidRPr="003B3C4F">
        <w:rPr>
          <w:rFonts w:ascii="Times New Roman" w:hAnsi="Times New Roman" w:cs="Times New Roman"/>
          <w:sz w:val="28"/>
          <w:szCs w:val="28"/>
          <w:lang w:val="ru"/>
        </w:rPr>
        <w:t>, авторы:</w:t>
      </w:r>
      <w:r w:rsidR="00FB5361" w:rsidRPr="003B3C4F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D625A1" w:rsidRPr="003B3C4F">
        <w:rPr>
          <w:rFonts w:ascii="Times New Roman" w:hAnsi="Times New Roman" w:cs="Times New Roman"/>
          <w:sz w:val="28"/>
          <w:szCs w:val="28"/>
          <w:lang w:val="ru"/>
        </w:rPr>
        <w:t xml:space="preserve">И.С. Крысанов, </w:t>
      </w:r>
      <w:proofErr w:type="gramStart"/>
      <w:r w:rsidR="00D625A1" w:rsidRPr="003B3C4F">
        <w:rPr>
          <w:rFonts w:ascii="Times New Roman" w:hAnsi="Times New Roman" w:cs="Times New Roman"/>
          <w:sz w:val="28"/>
          <w:szCs w:val="28"/>
          <w:lang w:val="ru"/>
        </w:rPr>
        <w:t>В.Ю.</w:t>
      </w:r>
      <w:proofErr w:type="gramEnd"/>
      <w:r w:rsidR="00D625A1" w:rsidRPr="003B3C4F">
        <w:rPr>
          <w:rFonts w:ascii="Times New Roman" w:hAnsi="Times New Roman" w:cs="Times New Roman"/>
          <w:sz w:val="28"/>
          <w:szCs w:val="28"/>
          <w:lang w:val="ru"/>
        </w:rPr>
        <w:t xml:space="preserve"> Ермакова, Л.Б. Васькова, М.В. Тяпкина.</w:t>
      </w:r>
    </w:p>
    <w:p w14:paraId="51512183" w14:textId="77777777" w:rsidR="00D625A1" w:rsidRPr="003B3C4F" w:rsidRDefault="00D625A1" w:rsidP="00D625A1">
      <w:pPr>
        <w:ind w:firstLine="709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3B3C4F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Абстракт.</w:t>
      </w:r>
    </w:p>
    <w:p w14:paraId="22B7AA62" w14:textId="77777777" w:rsidR="00D625A1" w:rsidRPr="003B3C4F" w:rsidRDefault="00FB5361" w:rsidP="00D625A1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Клинические исследования, проведенные в различных странах, свидетельствуют о том, что применение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эпоэтина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у пациентов с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нефрогенной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анемией при хронической болезни почек может повысить эффективность лечения, снизить число случаев сердечно-сосудистых и инфекционных осложнений, а также смертность у пациентов с хронической болезнью почек.</w:t>
      </w:r>
    </w:p>
    <w:p w14:paraId="6679F7B8" w14:textId="77777777" w:rsidR="00D625A1" w:rsidRPr="003B3C4F" w:rsidRDefault="00FB5361" w:rsidP="00D625A1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B3C4F">
        <w:rPr>
          <w:rStyle w:val="fontstyle21"/>
          <w:rFonts w:ascii="Times New Roman" w:hAnsi="Times New Roman" w:cs="Times New Roman"/>
          <w:sz w:val="28"/>
          <w:szCs w:val="28"/>
        </w:rPr>
        <w:t xml:space="preserve">Цель.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Провести сравнительную клинико-экономическую оценку затрат на терапию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нефрогенной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анемии у взрослых пациентов, находящихся на диализе, рекомбинантными человеческими эритропоэтинами: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эпоэтином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альфа,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дарбэпоэтином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эпоэтином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бета (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метоксиполиэтиленгликоль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) длительного действия.</w:t>
      </w:r>
    </w:p>
    <w:p w14:paraId="152BFC0A" w14:textId="77777777" w:rsidR="00D625A1" w:rsidRPr="003B3C4F" w:rsidRDefault="00FB5361" w:rsidP="00D625A1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B3C4F">
        <w:rPr>
          <w:rStyle w:val="fontstyle21"/>
          <w:rFonts w:ascii="Times New Roman" w:hAnsi="Times New Roman" w:cs="Times New Roman"/>
          <w:sz w:val="28"/>
          <w:szCs w:val="28"/>
        </w:rPr>
        <w:t xml:space="preserve">Методы.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В исследовании были учтены прямые медицинские затраты на фармакотерапию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нефрогенной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анемии из расчета 1 года поддерживающей терапии по схеме: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– 3 раза в неделю,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дарбэпоэтин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– 1 раз в неделю,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бета (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метоксиполиэтиленгликоль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) – 1 раз в 2 недели или 4 недели. Проведен анализ «минимизация затрат» для эквивалентных поддерживающих доз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эпоэтинов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для внутривенного и подкожного применения. Эквивалентные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эпоэтину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дозы были рассчитаны для среднестатистического пациента с массой тела 75 кг, путем пересчета недельной дозы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эпоэтинов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короткого действия (7500 МЕ) в эквивалентные через коэффициенты конвертации доз.</w:t>
      </w:r>
    </w:p>
    <w:p w14:paraId="6307AB03" w14:textId="77777777" w:rsidR="00D625A1" w:rsidRPr="003B3C4F" w:rsidRDefault="00FB5361" w:rsidP="00D625A1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B3C4F">
        <w:rPr>
          <w:rStyle w:val="fontstyle21"/>
          <w:rFonts w:ascii="Times New Roman" w:hAnsi="Times New Roman" w:cs="Times New Roman"/>
          <w:sz w:val="28"/>
          <w:szCs w:val="28"/>
        </w:rPr>
        <w:t xml:space="preserve">Результаты.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У исследуемой гипотетической когорты больных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альфа,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дарбэпоэтин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и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бета (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метоксиполиэтиленгликоль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) не отличаются по эффективности в достижении целевых значений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Hb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и безопасности. При</w:t>
      </w:r>
      <w:r w:rsidR="00D625A1"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равной эффективности исследуемых препаратов,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внутривенно может являться у исследуемых больных</w:t>
      </w:r>
      <w:r w:rsidR="00D625A1"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менее затратной лекарственной терапией относительно эквивалентных доз, полученных расчетным путем: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дарбэпоэтина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на 14–24% и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эпоэтина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бета (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метоксиполиэтиленгликоль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) – на 4–30%. Перевод больных на подкожное введение</w:t>
      </w:r>
      <w:r w:rsidR="00D625A1"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позволяет снизить недельную дозу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эпоэтина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на 20–30% за счет снижения частоты приема препарата до 2 раз в</w:t>
      </w:r>
      <w:r w:rsidR="00D625A1"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неделю, и сократить стоимость лекарственной терапии на треть.</w:t>
      </w:r>
    </w:p>
    <w:p w14:paraId="38BB8566" w14:textId="77777777" w:rsidR="00D625A1" w:rsidRPr="003B3C4F" w:rsidRDefault="00FB5361" w:rsidP="00D625A1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B3C4F">
        <w:rPr>
          <w:rStyle w:val="fontstyle21"/>
          <w:rFonts w:ascii="Times New Roman" w:hAnsi="Times New Roman" w:cs="Times New Roman"/>
          <w:sz w:val="28"/>
          <w:szCs w:val="28"/>
        </w:rPr>
        <w:t xml:space="preserve">Заключение.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2500 МЕ при внутривенном и подкожном введении может являться более экономичной лекарственной терапией в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сравнении с эквивалентными дозами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дарбэпоэтина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эпоэтина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бета (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метоксиполиэтиленгликоль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).</w:t>
      </w:r>
    </w:p>
    <w:p w14:paraId="7DDE4BEF" w14:textId="67801BE8" w:rsidR="00FB5361" w:rsidRPr="003B3C4F" w:rsidRDefault="00FB5361" w:rsidP="00D62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4F">
        <w:rPr>
          <w:rStyle w:val="fontstyle21"/>
          <w:rFonts w:ascii="Times New Roman" w:hAnsi="Times New Roman" w:cs="Times New Roman"/>
          <w:sz w:val="28"/>
          <w:szCs w:val="28"/>
        </w:rPr>
        <w:t xml:space="preserve">Ключевые слова: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хроническая болезнь почек; анемия; средства, стимулирующие эритропоэз;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альфа; экономическая оценка</w:t>
      </w:r>
      <w:r w:rsidRPr="003B3C4F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3B3C4F">
        <w:rPr>
          <w:rStyle w:val="fontstyle21"/>
          <w:rFonts w:ascii="Times New Roman" w:hAnsi="Times New Roman" w:cs="Times New Roman"/>
          <w:sz w:val="28"/>
          <w:szCs w:val="28"/>
        </w:rPr>
        <w:t xml:space="preserve">Список сокращений: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в/в – внутривенный; ДА –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дарбэпоэтин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; ЖНВЛП – жизненно необходимые и важнейшие лекарственные препараты; ЗПТ – заместительная почечная терапия; КИ – клинические исследования; ЛП – лекарственный</w:t>
      </w:r>
      <w:r w:rsidR="00D625A1"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препарат; ЛФ – лекарственная форма; МНН – международное непатентованное наименование; НДС – налог на добавленную стоимость; п/к – подкожный; РКИ – рандомизированное контролируемое исследование;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рчЭПО</w:t>
      </w:r>
      <w:proofErr w:type="spellEnd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– рекомбинантный человеческий эритропоэтин; ССЭ – средства стимуляторы эритропоэза; ХБП – хроническая болезнь почек;</w:t>
      </w:r>
      <w:r w:rsidR="00D625A1"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B3C4F">
        <w:rPr>
          <w:rStyle w:val="fontstyle01"/>
          <w:rFonts w:ascii="Times New Roman" w:hAnsi="Times New Roman" w:cs="Times New Roman"/>
          <w:sz w:val="28"/>
          <w:szCs w:val="28"/>
        </w:rPr>
        <w:t xml:space="preserve">ХПН – хроническая почечная недостаточность; ЭПО – </w:t>
      </w:r>
      <w:proofErr w:type="spellStart"/>
      <w:r w:rsidRPr="003B3C4F">
        <w:rPr>
          <w:rStyle w:val="fontstyle01"/>
          <w:rFonts w:ascii="Times New Roman" w:hAnsi="Times New Roman" w:cs="Times New Roman"/>
          <w:sz w:val="28"/>
          <w:szCs w:val="28"/>
        </w:rPr>
        <w:t>эпоэти</w:t>
      </w:r>
      <w:r w:rsidR="00D625A1" w:rsidRPr="003B3C4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625A1" w:rsidRPr="003B3C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C9F2C5" w14:textId="54AC47E0" w:rsidR="0086309A" w:rsidRPr="003B3C4F" w:rsidRDefault="00D625A1" w:rsidP="007509AA">
      <w:pPr>
        <w:spacing w:before="24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C4F">
        <w:rPr>
          <w:rFonts w:ascii="Times New Roman" w:hAnsi="Times New Roman" w:cs="Times New Roman"/>
          <w:b/>
          <w:bCs/>
          <w:sz w:val="28"/>
          <w:szCs w:val="28"/>
        </w:rPr>
        <w:t>Проведите категоризацию затрат по двум способам (традиционному и альтернативному).</w:t>
      </w:r>
    </w:p>
    <w:p w14:paraId="704E2F8B" w14:textId="1589F831" w:rsidR="00DA27C1" w:rsidRPr="003B3C4F" w:rsidRDefault="00DA27C1" w:rsidP="007509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4F">
        <w:rPr>
          <w:rFonts w:ascii="Times New Roman" w:hAnsi="Times New Roman" w:cs="Times New Roman"/>
          <w:sz w:val="28"/>
          <w:szCs w:val="28"/>
        </w:rPr>
        <w:t xml:space="preserve">2/ Прочтите статью «Анализ минимизации затрат применения препаратов ацетилсалициловой кислоты у кардиологических пациентов пожилого возраста», авторы </w:t>
      </w:r>
      <w:proofErr w:type="gramStart"/>
      <w:r w:rsidRPr="003B3C4F">
        <w:rPr>
          <w:rFonts w:ascii="Times New Roman" w:hAnsi="Times New Roman" w:cs="Times New Roman"/>
          <w:sz w:val="28"/>
          <w:szCs w:val="28"/>
        </w:rPr>
        <w:t>Д.Ю.</w:t>
      </w:r>
      <w:proofErr w:type="gramEnd"/>
      <w:r w:rsidRPr="003B3C4F">
        <w:rPr>
          <w:rFonts w:ascii="Times New Roman" w:hAnsi="Times New Roman" w:cs="Times New Roman"/>
          <w:sz w:val="28"/>
          <w:szCs w:val="28"/>
        </w:rPr>
        <w:t xml:space="preserve"> Белоусов, Е.В. Афанасьева (дана в отдельном файле).</w:t>
      </w:r>
    </w:p>
    <w:p w14:paraId="1CB0F1BF" w14:textId="3C55F806" w:rsidR="00FE6BAC" w:rsidRPr="003B3C4F" w:rsidRDefault="007509AA" w:rsidP="007509A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C4F">
        <w:rPr>
          <w:rFonts w:ascii="Times New Roman" w:hAnsi="Times New Roman" w:cs="Times New Roman"/>
          <w:b/>
          <w:bCs/>
          <w:sz w:val="28"/>
          <w:szCs w:val="28"/>
        </w:rPr>
        <w:t>Проведите категоризацию затрат по двум способам (традиционному и альтернативному).</w:t>
      </w:r>
    </w:p>
    <w:p w14:paraId="352B05D0" w14:textId="77777777" w:rsidR="005737F9" w:rsidRPr="00FE3F81" w:rsidRDefault="005737F9" w:rsidP="0057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37F9" w:rsidRPr="00FE3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A90D" w14:textId="77777777" w:rsidR="00015742" w:rsidRDefault="00015742" w:rsidP="00B64D3C">
      <w:pPr>
        <w:spacing w:after="0" w:line="240" w:lineRule="auto"/>
      </w:pPr>
      <w:r>
        <w:separator/>
      </w:r>
    </w:p>
  </w:endnote>
  <w:endnote w:type="continuationSeparator" w:id="0">
    <w:p w14:paraId="2245D3B1" w14:textId="77777777" w:rsidR="00015742" w:rsidRDefault="00015742" w:rsidP="00B6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C23B" w14:textId="77777777" w:rsidR="00B64D3C" w:rsidRDefault="00B64D3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1A97" w14:textId="77777777" w:rsidR="00B64D3C" w:rsidRDefault="00B64D3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84FE" w14:textId="77777777" w:rsidR="00B64D3C" w:rsidRDefault="00B64D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0970" w14:textId="77777777" w:rsidR="00015742" w:rsidRDefault="00015742" w:rsidP="00B64D3C">
      <w:pPr>
        <w:spacing w:after="0" w:line="240" w:lineRule="auto"/>
      </w:pPr>
      <w:r>
        <w:separator/>
      </w:r>
    </w:p>
  </w:footnote>
  <w:footnote w:type="continuationSeparator" w:id="0">
    <w:p w14:paraId="0D212DA1" w14:textId="77777777" w:rsidR="00015742" w:rsidRDefault="00015742" w:rsidP="00B6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1B9A" w14:textId="553840FE" w:rsidR="00B64D3C" w:rsidRDefault="00B64D3C">
    <w:pPr>
      <w:pStyle w:val="a6"/>
    </w:pPr>
    <w:r>
      <w:rPr>
        <w:noProof/>
      </w:rPr>
      <w:pict w14:anchorId="6A224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532922" o:spid="_x0000_s1026" type="#_x0000_t75" style="position:absolute;margin-left:0;margin-top:0;width:680.2pt;height:340.3pt;z-index:-251657216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90CC" w14:textId="3F56E26F" w:rsidR="00B64D3C" w:rsidRDefault="00B64D3C">
    <w:pPr>
      <w:pStyle w:val="a6"/>
    </w:pPr>
    <w:r>
      <w:rPr>
        <w:noProof/>
      </w:rPr>
      <w:pict w14:anchorId="0339A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532923" o:spid="_x0000_s1027" type="#_x0000_t75" style="position:absolute;margin-left:0;margin-top:0;width:680.2pt;height:340.3pt;z-index:-251656192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FE38" w14:textId="4719ECF3" w:rsidR="00B64D3C" w:rsidRDefault="00B64D3C">
    <w:pPr>
      <w:pStyle w:val="a6"/>
    </w:pPr>
    <w:r>
      <w:rPr>
        <w:noProof/>
      </w:rPr>
      <w:pict w14:anchorId="48A3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532921" o:spid="_x0000_s1025" type="#_x0000_t75" style="position:absolute;margin-left:0;margin-top:0;width:680.2pt;height:340.3pt;z-index:-251658240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221FB"/>
    <w:multiLevelType w:val="hybridMultilevel"/>
    <w:tmpl w:val="432E914E"/>
    <w:lvl w:ilvl="0" w:tplc="7D2A3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70FE7"/>
    <w:multiLevelType w:val="hybridMultilevel"/>
    <w:tmpl w:val="7570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61"/>
    <w:rsid w:val="00015742"/>
    <w:rsid w:val="00050F2B"/>
    <w:rsid w:val="00051E19"/>
    <w:rsid w:val="000D271D"/>
    <w:rsid w:val="00112390"/>
    <w:rsid w:val="001B0C99"/>
    <w:rsid w:val="001B26EF"/>
    <w:rsid w:val="001B38C4"/>
    <w:rsid w:val="001C2BBF"/>
    <w:rsid w:val="001E114E"/>
    <w:rsid w:val="001E4943"/>
    <w:rsid w:val="0027751A"/>
    <w:rsid w:val="002870A8"/>
    <w:rsid w:val="002A7900"/>
    <w:rsid w:val="002B1AB3"/>
    <w:rsid w:val="002B7348"/>
    <w:rsid w:val="002E1C36"/>
    <w:rsid w:val="00311FE3"/>
    <w:rsid w:val="003549D3"/>
    <w:rsid w:val="003634A5"/>
    <w:rsid w:val="00374C44"/>
    <w:rsid w:val="003B3C4F"/>
    <w:rsid w:val="003D7FFC"/>
    <w:rsid w:val="004C6EE8"/>
    <w:rsid w:val="004D0B02"/>
    <w:rsid w:val="004D1FF2"/>
    <w:rsid w:val="00535A9A"/>
    <w:rsid w:val="00544773"/>
    <w:rsid w:val="005737F9"/>
    <w:rsid w:val="00593E2A"/>
    <w:rsid w:val="0059618D"/>
    <w:rsid w:val="005D1498"/>
    <w:rsid w:val="006101EE"/>
    <w:rsid w:val="00696B09"/>
    <w:rsid w:val="007353B5"/>
    <w:rsid w:val="007509AA"/>
    <w:rsid w:val="00752C35"/>
    <w:rsid w:val="00844906"/>
    <w:rsid w:val="0086309A"/>
    <w:rsid w:val="008736A7"/>
    <w:rsid w:val="008740A9"/>
    <w:rsid w:val="008956C1"/>
    <w:rsid w:val="008E1100"/>
    <w:rsid w:val="0095378D"/>
    <w:rsid w:val="009A579E"/>
    <w:rsid w:val="009D1A4D"/>
    <w:rsid w:val="00A82A0F"/>
    <w:rsid w:val="00AC7105"/>
    <w:rsid w:val="00AF7B69"/>
    <w:rsid w:val="00B46177"/>
    <w:rsid w:val="00B46273"/>
    <w:rsid w:val="00B62F73"/>
    <w:rsid w:val="00B64D3C"/>
    <w:rsid w:val="00B77A72"/>
    <w:rsid w:val="00BB2B36"/>
    <w:rsid w:val="00BD4FD4"/>
    <w:rsid w:val="00BD681E"/>
    <w:rsid w:val="00BF1418"/>
    <w:rsid w:val="00BF5492"/>
    <w:rsid w:val="00C0655E"/>
    <w:rsid w:val="00C12D3B"/>
    <w:rsid w:val="00C67C9E"/>
    <w:rsid w:val="00C72A2C"/>
    <w:rsid w:val="00CE5A4E"/>
    <w:rsid w:val="00D435E7"/>
    <w:rsid w:val="00D625A1"/>
    <w:rsid w:val="00D9185B"/>
    <w:rsid w:val="00DA27C1"/>
    <w:rsid w:val="00DB2803"/>
    <w:rsid w:val="00E124F0"/>
    <w:rsid w:val="00E31730"/>
    <w:rsid w:val="00E3580D"/>
    <w:rsid w:val="00E75728"/>
    <w:rsid w:val="00EA3F27"/>
    <w:rsid w:val="00ED55BB"/>
    <w:rsid w:val="00F015CF"/>
    <w:rsid w:val="00F055A4"/>
    <w:rsid w:val="00F54221"/>
    <w:rsid w:val="00FA5CC9"/>
    <w:rsid w:val="00FA6C12"/>
    <w:rsid w:val="00FB5361"/>
    <w:rsid w:val="00FC734E"/>
    <w:rsid w:val="00FD05ED"/>
    <w:rsid w:val="00FD12B9"/>
    <w:rsid w:val="00FE3F81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3AC23"/>
  <w15:chartTrackingRefBased/>
  <w15:docId w15:val="{C187B506-46E4-428E-A5F6-426136A2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B5361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FB5361"/>
    <w:rPr>
      <w:rFonts w:ascii="Calibri-Bold" w:hAnsi="Calibri-Bold" w:hint="default"/>
      <w:b/>
      <w:bCs/>
      <w:i w:val="0"/>
      <w:iCs w:val="0"/>
      <w:color w:val="242021"/>
      <w:sz w:val="18"/>
      <w:szCs w:val="18"/>
    </w:rPr>
  </w:style>
  <w:style w:type="paragraph" w:styleId="a3">
    <w:name w:val="List Paragraph"/>
    <w:basedOn w:val="a"/>
    <w:uiPriority w:val="34"/>
    <w:qFormat/>
    <w:rsid w:val="003B3C4F"/>
    <w:pPr>
      <w:ind w:left="720"/>
      <w:contextualSpacing/>
    </w:pPr>
  </w:style>
  <w:style w:type="table" w:styleId="a4">
    <w:name w:val="Table Grid"/>
    <w:basedOn w:val="a1"/>
    <w:uiPriority w:val="39"/>
    <w:rsid w:val="0053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2C3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D3C"/>
  </w:style>
  <w:style w:type="paragraph" w:styleId="a8">
    <w:name w:val="footer"/>
    <w:basedOn w:val="a"/>
    <w:link w:val="a9"/>
    <w:uiPriority w:val="99"/>
    <w:unhideWhenUsed/>
    <w:rsid w:val="00B6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Kochubey</dc:creator>
  <cp:keywords/>
  <dc:description/>
  <cp:lastModifiedBy>Adelina Kochubei</cp:lastModifiedBy>
  <cp:revision>20</cp:revision>
  <dcterms:created xsi:type="dcterms:W3CDTF">2022-03-26T09:41:00Z</dcterms:created>
  <dcterms:modified xsi:type="dcterms:W3CDTF">2022-03-30T19:17:00Z</dcterms:modified>
</cp:coreProperties>
</file>