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5C" w:rsidRDefault="00B6155C" w:rsidP="00B6155C">
      <w:pPr>
        <w:pStyle w:val="2"/>
        <w:jc w:val="both"/>
        <w:rPr>
          <w:rFonts w:eastAsia="Times New Roman"/>
          <w:lang w:eastAsia="ru-RU"/>
        </w:rPr>
      </w:pPr>
      <w:bookmarkStart w:id="0" w:name="_Toc445131937"/>
    </w:p>
    <w:p w:rsidR="00B6155C" w:rsidRPr="00074147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ФЕДЕРАЛЬНАЯ СЛУЖБА П</w:t>
      </w:r>
      <w:r w:rsidRPr="00074147">
        <w:rPr>
          <w:rFonts w:eastAsia="Calibri"/>
          <w:b/>
        </w:rPr>
        <w:t xml:space="preserve">О </w:t>
      </w:r>
      <w:r>
        <w:rPr>
          <w:rFonts w:eastAsia="Calibri"/>
          <w:b/>
        </w:rPr>
        <w:t>Н</w:t>
      </w:r>
      <w:r w:rsidRPr="00074147">
        <w:rPr>
          <w:rFonts w:eastAsia="Calibri"/>
          <w:b/>
        </w:rPr>
        <w:t>АДЗОРУ В СФЕРЕ ЗДРАВООХРАНЕНИЯ</w:t>
      </w:r>
    </w:p>
    <w:p w:rsidR="00B6155C" w:rsidRPr="00074147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Федеральное государственное бюджетное учреждение «Центр мониторинга и клинико-экономической экспертизы» Росздравнадзора</w:t>
      </w:r>
    </w:p>
    <w:p w:rsidR="00B6155C" w:rsidRPr="00C17313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Pr="00C17313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Pr="00C17313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Pr="00C17313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Pr="001659E0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ПРЕДЛОЖЕНИЯ (ПРАКТИЧЕСКИЕ РЕКОМЕНДАЦИИ)</w:t>
      </w:r>
    </w:p>
    <w:p w:rsidR="00B6155C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  <w:r w:rsidRPr="001659E0">
        <w:rPr>
          <w:rFonts w:eastAsia="Calibri"/>
          <w:b/>
        </w:rPr>
        <w:t xml:space="preserve">ПО </w:t>
      </w:r>
      <w:r>
        <w:rPr>
          <w:rFonts w:eastAsia="Calibri"/>
          <w:b/>
        </w:rPr>
        <w:t xml:space="preserve">ОРГАНИЗАЦИИ </w:t>
      </w:r>
    </w:p>
    <w:p w:rsidR="00B6155C" w:rsidRPr="001659E0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ВН</w:t>
      </w:r>
      <w:r w:rsidRPr="001659E0">
        <w:rPr>
          <w:rFonts w:eastAsia="Calibri"/>
          <w:b/>
        </w:rPr>
        <w:t>УТРЕННЕГО КОНТРОЛЯ КАЧЕСТВА И БЕЗОПАСНОСТИ</w:t>
      </w:r>
    </w:p>
    <w:p w:rsidR="00B6155C" w:rsidRPr="001659E0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  <w:r w:rsidRPr="001659E0">
        <w:rPr>
          <w:rFonts w:eastAsia="Calibri"/>
          <w:b/>
        </w:rPr>
        <w:t>МЕДИЦИНСКОЙ ДЕЯТЕЛЬНОСТИ</w:t>
      </w:r>
    </w:p>
    <w:p w:rsidR="00B6155C" w:rsidRPr="001659E0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  <w:r w:rsidRPr="001659E0">
        <w:rPr>
          <w:rFonts w:eastAsia="Calibri"/>
          <w:b/>
        </w:rPr>
        <w:t>В МЕДИЦИНСКОЙ ОРГАНИЗАЦИИ (СТАЦИОНАРЕ)</w:t>
      </w: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both"/>
        <w:rPr>
          <w:rFonts w:eastAsia="Calibri"/>
        </w:rPr>
      </w:pPr>
    </w:p>
    <w:p w:rsidR="00B6155C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</w:p>
    <w:p w:rsidR="00B6155C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</w:p>
    <w:p w:rsidR="00B6155C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</w:p>
    <w:p w:rsidR="00B6155C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</w:p>
    <w:p w:rsidR="00B6155C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</w:p>
    <w:p w:rsidR="00B6155C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</w:p>
    <w:p w:rsidR="00B6155C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</w:p>
    <w:p w:rsidR="00B6155C" w:rsidRDefault="00B6155C" w:rsidP="00B6155C">
      <w:pPr>
        <w:suppressAutoHyphens/>
        <w:spacing w:line="240" w:lineRule="auto"/>
        <w:jc w:val="center"/>
        <w:rPr>
          <w:rFonts w:eastAsia="Calibri"/>
          <w:b/>
        </w:rPr>
      </w:pPr>
      <w:r w:rsidRPr="00074147">
        <w:rPr>
          <w:rFonts w:eastAsia="Calibri"/>
          <w:b/>
        </w:rPr>
        <w:t>Москва, 2015</w:t>
      </w:r>
    </w:p>
    <w:p w:rsidR="00B6155C" w:rsidRPr="001D02B6" w:rsidRDefault="001D02B6" w:rsidP="00B6155C">
      <w:pPr>
        <w:pStyle w:val="2"/>
        <w:jc w:val="both"/>
        <w:rPr>
          <w:rFonts w:eastAsia="Times New Roman"/>
          <w:b/>
          <w:color w:val="FF0000"/>
          <w:lang w:eastAsia="ru-RU"/>
        </w:rPr>
      </w:pPr>
      <w:r w:rsidRPr="001D02B6">
        <w:rPr>
          <w:rFonts w:eastAsia="Times New Roman"/>
          <w:b/>
          <w:color w:val="FF0000"/>
          <w:lang w:eastAsia="ru-RU"/>
        </w:rPr>
        <w:lastRenderedPageBreak/>
        <w:t>Приведен только раздел, касающийся трансфузиологии!!!!!!!</w:t>
      </w:r>
    </w:p>
    <w:p w:rsidR="00B6155C" w:rsidRDefault="00B6155C" w:rsidP="00B6155C">
      <w:pPr>
        <w:pStyle w:val="2"/>
        <w:jc w:val="both"/>
        <w:rPr>
          <w:rFonts w:eastAsia="Times New Roman"/>
          <w:lang w:eastAsia="ru-RU"/>
        </w:rPr>
      </w:pPr>
    </w:p>
    <w:p w:rsidR="00B6155C" w:rsidRPr="00CF7C13" w:rsidRDefault="00B6155C" w:rsidP="00B6155C">
      <w:pPr>
        <w:pStyle w:val="2"/>
        <w:jc w:val="both"/>
        <w:rPr>
          <w:rFonts w:eastAsia="Times New Roman"/>
          <w:lang w:eastAsia="ru-RU"/>
        </w:rPr>
      </w:pPr>
      <w:r w:rsidRPr="00CF7C13">
        <w:rPr>
          <w:rFonts w:eastAsia="Times New Roman"/>
          <w:lang w:eastAsia="ru-RU"/>
        </w:rPr>
        <w:t>2.9 ПРОФИЛАКТИКА РИСКОВ, СВЯЗАННЫХ С ПЕРЕЛИВАНИЕМ ДОНОРСКОЙ КРОВИ И ЕЕ КОМПОНЕНТОВ, ПРЕПАРАТОВ ИЗ ДОНОРСКОЙ КРОВИ</w:t>
      </w:r>
      <w:bookmarkEnd w:id="0"/>
    </w:p>
    <w:p w:rsidR="00B6155C" w:rsidRPr="00C17313" w:rsidRDefault="00B6155C" w:rsidP="00B6155C">
      <w:pPr>
        <w:shd w:val="clear" w:color="auto" w:fill="FFFFFF"/>
        <w:suppressAutoHyphens/>
        <w:spacing w:before="100" w:beforeAutospacing="1" w:after="255" w:afterAutospacing="1" w:line="240" w:lineRule="auto"/>
        <w:ind w:firstLine="708"/>
        <w:jc w:val="both"/>
        <w:rPr>
          <w:rFonts w:eastAsia="Times New Roman"/>
          <w:color w:val="333333"/>
          <w:lang w:eastAsia="ru-RU"/>
        </w:rPr>
      </w:pPr>
      <w:r w:rsidRPr="00C17313">
        <w:rPr>
          <w:rFonts w:eastAsia="Times New Roman"/>
          <w:color w:val="333333"/>
          <w:lang w:eastAsia="ru-RU"/>
        </w:rPr>
        <w:t>Трансфузионно-инфузионная терапия остается одним из наиболее эффективных методов лечения критических состояний в медиц</w:t>
      </w:r>
      <w:r>
        <w:rPr>
          <w:rFonts w:eastAsia="Times New Roman"/>
          <w:color w:val="333333"/>
          <w:lang w:eastAsia="ru-RU"/>
        </w:rPr>
        <w:t>ине (и одним из самых опасных).</w:t>
      </w:r>
    </w:p>
    <w:p w:rsidR="00B6155C" w:rsidRPr="00C17313" w:rsidRDefault="00B6155C" w:rsidP="00B6155C">
      <w:pPr>
        <w:shd w:val="clear" w:color="auto" w:fill="FFFFFF"/>
        <w:suppressAutoHyphens/>
        <w:spacing w:before="100" w:beforeAutospacing="1" w:after="255" w:afterAutospacing="1" w:line="240" w:lineRule="auto"/>
        <w:ind w:firstLine="708"/>
        <w:jc w:val="both"/>
        <w:rPr>
          <w:rFonts w:eastAsia="Times New Roman"/>
          <w:color w:val="333333"/>
          <w:lang w:eastAsia="ru-RU"/>
        </w:rPr>
      </w:pPr>
      <w:r w:rsidRPr="00C17313">
        <w:rPr>
          <w:rFonts w:eastAsia="Times New Roman"/>
          <w:color w:val="333333"/>
          <w:lang w:eastAsia="ru-RU"/>
        </w:rPr>
        <w:t>Несоблюдение правил при каждом из этапов процесса трансфузии донорской крови и ее компонентов (а их более 70 - от загото</w:t>
      </w:r>
      <w:r>
        <w:rPr>
          <w:rFonts w:eastAsia="Times New Roman"/>
          <w:color w:val="333333"/>
          <w:lang w:eastAsia="ru-RU"/>
        </w:rPr>
        <w:t>вк</w:t>
      </w:r>
      <w:r w:rsidRPr="00C17313">
        <w:rPr>
          <w:rFonts w:eastAsia="Times New Roman"/>
          <w:color w:val="333333"/>
          <w:lang w:eastAsia="ru-RU"/>
        </w:rPr>
        <w:t>и, переработки, хранения, транспортиро</w:t>
      </w:r>
      <w:r>
        <w:rPr>
          <w:rFonts w:eastAsia="Times New Roman"/>
          <w:color w:val="333333"/>
          <w:lang w:eastAsia="ru-RU"/>
        </w:rPr>
        <w:t>вк</w:t>
      </w:r>
      <w:r w:rsidRPr="00C17313">
        <w:rPr>
          <w:rFonts w:eastAsia="Times New Roman"/>
          <w:color w:val="333333"/>
          <w:lang w:eastAsia="ru-RU"/>
        </w:rPr>
        <w:t>и, применения до утилизации) могут наступить тяжелейшие осложнения, вплоть до фатальных. Наиболее частые ошибки при проведении трансфузии связаны с: неправильным</w:t>
      </w:r>
      <w:r>
        <w:rPr>
          <w:rFonts w:eastAsia="Times New Roman"/>
          <w:color w:val="333333"/>
          <w:lang w:eastAsia="ru-RU"/>
        </w:rPr>
        <w:t>и действиями:</w:t>
      </w:r>
      <w:r w:rsidRPr="00C17313">
        <w:rPr>
          <w:rFonts w:eastAsia="Times New Roman"/>
          <w:color w:val="333333"/>
          <w:lang w:eastAsia="ru-RU"/>
        </w:rPr>
        <w:t xml:space="preserve"> определением показаний, выбора препарата, дозы, времени; идентификацией пациентов непосредственно перед трансфузией (до 50 % случаев осложнений); проведением проб на совместимость; подгото</w:t>
      </w:r>
      <w:r>
        <w:rPr>
          <w:rFonts w:eastAsia="Times New Roman"/>
          <w:color w:val="333333"/>
          <w:lang w:eastAsia="ru-RU"/>
        </w:rPr>
        <w:t>вк</w:t>
      </w:r>
      <w:r w:rsidRPr="00C17313">
        <w:rPr>
          <w:rFonts w:eastAsia="Times New Roman"/>
          <w:color w:val="333333"/>
          <w:lang w:eastAsia="ru-RU"/>
        </w:rPr>
        <w:t>ой препарата после извлечения из холодильника, в том числе с транспортиро</w:t>
      </w:r>
      <w:r>
        <w:rPr>
          <w:rFonts w:eastAsia="Times New Roman"/>
          <w:color w:val="333333"/>
          <w:lang w:eastAsia="ru-RU"/>
        </w:rPr>
        <w:t>вк</w:t>
      </w:r>
      <w:r w:rsidRPr="00C17313">
        <w:rPr>
          <w:rFonts w:eastAsia="Times New Roman"/>
          <w:color w:val="333333"/>
          <w:lang w:eastAsia="ru-RU"/>
        </w:rPr>
        <w:t xml:space="preserve">ой в неудовлетворительных условиях до МО. Иными словами, трансфузионные осложнения чаще всего являются следствием нарушения методики и техники трансфузии, а также дефектов организации трансфузионной службы медицинской организации. Кроме этого существует риск заражения реципиентов </w:t>
      </w:r>
      <w:r>
        <w:rPr>
          <w:rFonts w:eastAsia="Times New Roman"/>
          <w:color w:val="333333"/>
          <w:lang w:eastAsia="ru-RU"/>
        </w:rPr>
        <w:t>гемотрансмиссивными инфекциями.</w:t>
      </w:r>
    </w:p>
    <w:p w:rsidR="00B6155C" w:rsidRPr="00C17313" w:rsidRDefault="00B6155C" w:rsidP="00B6155C">
      <w:pPr>
        <w:shd w:val="clear" w:color="auto" w:fill="FFFFFF"/>
        <w:suppressAutoHyphens/>
        <w:spacing w:after="255" w:line="240" w:lineRule="auto"/>
        <w:ind w:firstLine="708"/>
        <w:jc w:val="both"/>
        <w:rPr>
          <w:rFonts w:eastAsia="Times New Roman"/>
          <w:color w:val="333333"/>
          <w:lang w:eastAsia="ru-RU"/>
        </w:rPr>
      </w:pPr>
      <w:r w:rsidRPr="00C17313">
        <w:rPr>
          <w:rFonts w:eastAsia="Times New Roman"/>
          <w:color w:val="333333"/>
          <w:lang w:eastAsia="ru-RU"/>
        </w:rPr>
        <w:t>В РФ частота иммунологических осложнений после гемотрансфузий неизвестна, что обусловлено несколькими причинами. Во-первых, отсутствует эффективная система регистрации осложнений. Во-вторых, врачи зачастую не знают особенностей клинических проявлений посттрансфузионных реакций и осложнений, особенно при тяжелом состоянии больного. В-третьих, отсутствуют алгоритмы лабораторной диагностики различных видов осложнений иммунологического типа. Кроме того, отсутствие анонимности при сборе данных об осложнениях не способствует получению достоверной информации.</w:t>
      </w:r>
      <w:r w:rsidRPr="00C17313">
        <w:rPr>
          <w:rFonts w:eastAsia="Times New Roman"/>
          <w:color w:val="333333"/>
          <w:vertAlign w:val="superscript"/>
          <w:lang w:eastAsia="ru-RU"/>
        </w:rPr>
        <w:footnoteReference w:id="2"/>
      </w:r>
    </w:p>
    <w:p w:rsidR="00B6155C" w:rsidRDefault="00B6155C" w:rsidP="00B6155C">
      <w:pPr>
        <w:suppressAutoHyphens/>
        <w:spacing w:line="240" w:lineRule="auto"/>
        <w:contextualSpacing/>
        <w:jc w:val="both"/>
      </w:pPr>
    </w:p>
    <w:p w:rsidR="00B6155C" w:rsidRDefault="00B6155C" w:rsidP="00B6155C">
      <w:pPr>
        <w:suppressAutoHyphens/>
        <w:spacing w:line="240" w:lineRule="auto"/>
        <w:contextualSpacing/>
        <w:jc w:val="both"/>
      </w:pPr>
    </w:p>
    <w:p w:rsidR="00B6155C" w:rsidRDefault="00B6155C" w:rsidP="00B6155C">
      <w:pPr>
        <w:suppressAutoHyphens/>
        <w:spacing w:line="240" w:lineRule="auto"/>
        <w:contextualSpacing/>
        <w:jc w:val="both"/>
      </w:pPr>
    </w:p>
    <w:p w:rsidR="00B6155C" w:rsidRDefault="00B6155C" w:rsidP="00B6155C">
      <w:pPr>
        <w:suppressAutoHyphens/>
        <w:spacing w:line="240" w:lineRule="auto"/>
        <w:contextualSpacing/>
        <w:jc w:val="both"/>
      </w:pPr>
    </w:p>
    <w:p w:rsidR="00B6155C" w:rsidRPr="00C17313" w:rsidRDefault="00B6155C" w:rsidP="00B6155C">
      <w:pPr>
        <w:suppressAutoHyphens/>
        <w:spacing w:line="240" w:lineRule="auto"/>
        <w:contextualSpacing/>
        <w:jc w:val="both"/>
        <w:sectPr w:rsidR="00B6155C" w:rsidRPr="00C17313" w:rsidSect="004E31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0"/>
        <w:tblW w:w="14851" w:type="dxa"/>
        <w:tblLayout w:type="fixed"/>
        <w:tblLook w:val="0600"/>
      </w:tblPr>
      <w:tblGrid>
        <w:gridCol w:w="817"/>
        <w:gridCol w:w="2268"/>
        <w:gridCol w:w="3402"/>
        <w:gridCol w:w="1163"/>
        <w:gridCol w:w="5783"/>
        <w:gridCol w:w="709"/>
        <w:gridCol w:w="709"/>
      </w:tblGrid>
      <w:tr w:rsidR="00B6155C" w:rsidRPr="00C17313" w:rsidTr="00522164">
        <w:trPr>
          <w:trHeight w:val="412"/>
          <w:tblHeader/>
        </w:trPr>
        <w:tc>
          <w:tcPr>
            <w:tcW w:w="817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Группа показателей 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Показатели 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№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Порядок оценки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Нет </w:t>
            </w:r>
          </w:p>
        </w:tc>
      </w:tr>
      <w:tr w:rsidR="00B6155C" w:rsidRPr="00C17313" w:rsidTr="00522164">
        <w:trPr>
          <w:trHeight w:val="457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Организация службы </w:t>
            </w:r>
            <w:r w:rsidRPr="00C17313">
              <w:rPr>
                <w:color w:val="000000" w:themeColor="text1"/>
                <w:sz w:val="24"/>
                <w:szCs w:val="24"/>
              </w:rPr>
              <w:t>трансфузиологии</w:t>
            </w:r>
            <w:r w:rsidRPr="00C17313">
              <w:rPr>
                <w:sz w:val="24"/>
                <w:szCs w:val="24"/>
              </w:rPr>
              <w:t xml:space="preserve"> в МО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приказов главного врача по темам: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приказов МО по темам: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52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.1.1</w:t>
            </w:r>
          </w:p>
        </w:tc>
        <w:tc>
          <w:tcPr>
            <w:tcW w:w="5783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Организация службы трансфузиологии в МО</w:t>
            </w:r>
          </w:p>
        </w:tc>
        <w:tc>
          <w:tcPr>
            <w:tcW w:w="709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52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.1.2</w:t>
            </w:r>
          </w:p>
        </w:tc>
        <w:tc>
          <w:tcPr>
            <w:tcW w:w="5783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Система регистрации случаев реакций и осложнений, возникших в связи с трансфузией донорской крови и (или) ее компонентов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52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.1.3</w:t>
            </w:r>
          </w:p>
        </w:tc>
        <w:tc>
          <w:tcPr>
            <w:tcW w:w="5783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Алгоритмы клинического использования донорской крови и (или) ее компонентов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52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.1.4</w:t>
            </w:r>
          </w:p>
        </w:tc>
        <w:tc>
          <w:tcPr>
            <w:tcW w:w="5783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Аудит системы профилактики рисков, связанных с переливанием донорской крови и ее компонентов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37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.1.5</w:t>
            </w:r>
          </w:p>
        </w:tc>
        <w:tc>
          <w:tcPr>
            <w:tcW w:w="5783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Обучение персонала </w:t>
            </w:r>
          </w:p>
        </w:tc>
        <w:tc>
          <w:tcPr>
            <w:tcW w:w="709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52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Наличие трансфузиологической комиссии/ответственного 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Регулярность рабочих совещаний, наличие протоколов рабочих совещаний комиссии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.1.6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комиссии или ответственного, состав (ФИО, должности)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52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.1.7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работу комиссии/ответственного, проверить протоколы рабочих совещаний, их регулярность, планы по внедрению изменений и оценки эффективности внедрения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59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Региональная система донорства/станций переливания крови/центров крови/обеспечения донорской кровью </w:t>
            </w:r>
            <w:r w:rsidRPr="00C17313">
              <w:rPr>
                <w:sz w:val="24"/>
                <w:szCs w:val="24"/>
              </w:rPr>
              <w:lastRenderedPageBreak/>
              <w:t>и ее компонентами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lastRenderedPageBreak/>
              <w:t xml:space="preserve">Наличие региональной системы обеспечения донорской кровью и ее компонентами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наличие в МО региональных документов, описывающих систему обеспечения донорской кровью и ее компонентов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09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алгоритмов заказа, доста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 xml:space="preserve">и и возврата крови и ее </w:t>
            </w:r>
            <w:r w:rsidRPr="00C17313">
              <w:rPr>
                <w:sz w:val="24"/>
                <w:szCs w:val="24"/>
              </w:rPr>
              <w:lastRenderedPageBreak/>
              <w:t xml:space="preserve">компонентов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C17313">
              <w:rPr>
                <w:sz w:val="24"/>
                <w:szCs w:val="24"/>
              </w:rPr>
              <w:t>.2.2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алгоритмов МО заказа и доста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 xml:space="preserve">и крови и ее компонентов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09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знания алгоритмов, опросить не менее 2-х ответственных сотрудников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09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наличие алгоритмов МО возврата невостребованной крови и ее компонентов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59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Регулярный аудит системы обеспечения донорской кровью и ее компонентами,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 систему регистрации случаев неполного (некорректного) выполнения зая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 xml:space="preserve">и, случаев отложенных плановых оперативных вмешательств или случаев, связанных с дефицитом крови и компонентов 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.2.5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Оценить систему аудита: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наличие отчетов о результатах аудитов/регулярность проведения, 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планов по устранению дефектов /ответственные/сроки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95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.3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Региональная система учета и регистрации донорской крови 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Наличие системы регистрации и учета донорской крови и компонентов (желательно электронной),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 наличие журнала (возможно электронного) движения крови и компонентов в МО, аккуратное ведение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.3.1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систему регистрации и учета донорской крови и компонентов, проверить наличие журнала (возможно электронного) движения крови и компонентов в МО, регулярность заполнения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308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Доступ персонала к системе учета 24/7/365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.3.2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Оценить доступность информации о наличии донорской крови и компонентов 24/7/365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9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Наличие и исполнение </w:t>
            </w:r>
            <w:r w:rsidRPr="00C17313">
              <w:rPr>
                <w:sz w:val="24"/>
                <w:szCs w:val="24"/>
              </w:rPr>
              <w:lastRenderedPageBreak/>
              <w:t>алгоритма идентификации препаратов крови и ее компонентов при доста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е, использовании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C17313">
              <w:rPr>
                <w:sz w:val="24"/>
                <w:szCs w:val="24"/>
              </w:rPr>
              <w:t>.3.3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наличие алгоритмов идентификации </w:t>
            </w:r>
            <w:r w:rsidRPr="00C17313">
              <w:rPr>
                <w:sz w:val="24"/>
                <w:szCs w:val="24"/>
              </w:rPr>
              <w:lastRenderedPageBreak/>
              <w:t xml:space="preserve">препаратов крови и ее компонентов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9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.3.4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Оценить навыки персонала, попросить не менее 2-х ответственных сотрудников продемонстрировать систему идентификации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32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.4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Контроль условий транспортиро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 xml:space="preserve">и препаратов крови и ее компонентов (как внутри МО, так и извне) 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Соблюдение правил транспортиро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 xml:space="preserve">и,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 учет температурного режима на всех этапах (хранения, транспортиро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и и клинического использования):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Оценить соблюдение правил транспортиро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 xml:space="preserve">и препаратов крови методом наблюдения (при возможности), опросить не менее 2-х ответственных сотрудников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945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Донорской крови и эритроцитсодержащих компонентов крови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.4.1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Донорской крови 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Менее 30 минут – в транспортных контейнерах, обеспечивающих достаточную изотермичность и изоляцию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99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Более 30 мин (максимально до 24 ч), температура внутри транспортного контейнера не должна превышать + 10°С.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99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Тромбоцитсодержащих компонентов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.4.2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от + 20 до + 24С (оберегать от встряхивания, ударов и перевертывания)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99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СЗП 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.4.3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- в течение всего периода транспортиро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и не выше – 18°С.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46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Контроль условий хранения препаратов крови и </w:t>
            </w:r>
            <w:r w:rsidRPr="00C17313">
              <w:rPr>
                <w:sz w:val="24"/>
                <w:szCs w:val="24"/>
              </w:rPr>
              <w:lastRenderedPageBreak/>
              <w:t>ее компонентов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lastRenderedPageBreak/>
              <w:t xml:space="preserve">Контроль условий хранения препаратов крови и ее компонентов (как хранящихся в МО, так и поступивших в </w:t>
            </w:r>
            <w:r w:rsidRPr="00C17313">
              <w:rPr>
                <w:sz w:val="24"/>
                <w:szCs w:val="24"/>
              </w:rPr>
              <w:lastRenderedPageBreak/>
              <w:t>экстренном порядке)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C17313">
              <w:rPr>
                <w:sz w:val="24"/>
                <w:szCs w:val="24"/>
              </w:rPr>
              <w:t>.5.1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донорской крови и компонентов в количестве, соответствующим расчетным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4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наличие исправного оборудования во всех </w:t>
            </w:r>
            <w:r w:rsidRPr="00C17313">
              <w:rPr>
                <w:sz w:val="24"/>
                <w:szCs w:val="24"/>
              </w:rPr>
              <w:lastRenderedPageBreak/>
              <w:t>подразделениях МО: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4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Холодильники с исправными градусниками или термодатчиками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4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Морозильники с исправными термодатчиками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99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порядок контроля условий хранения, проверить наличие журналов для фиксации контрольных параметров, регулярность заполнения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7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.5.5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систему контроля технического состояния оборудования, проверить наличие договоров с компаниями, осуществляющими техническое обслуживание оборудования, журналов проведения поверок, регулярность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7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.5.6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раздельность хранения донорской крови и компонентов в зависимости от наименования и статуса компонента крови, группы крови АВ0 и резус-принадлежности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28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соблюдение условий хранения: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7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.5.7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 (если используется для трансфузии как цельная кровь) от + 2 до + 6С (максимальный период хранения зависит от используемой системы антикоагулянт –взвешивающий раствор)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7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.5.8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Ниже – 25С (36 мес.) (при отсутствии потребности в использовании размороженной плазмы при температуре 2-6 С в течение 24 ч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7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.5.9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от + 20 до + 24С (5 дней при условии непрерывного помешивания)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350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.5.10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от + 20 до + 24С (24 ч)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93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.5.11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до переливания новорожденным и детям раннего возраста не более 48 ч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7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.5.12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до переливания взрослым не более 28 дней с момента загото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25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.6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Алгоритм заказа, доста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и крови и компонентов в МО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Наличие стандартных документов (бланков) для заказа крови и компонентов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.6.1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наличие стандартных бланков для заказа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25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системы регистрации (журнала учета) несоответствий доставленных компонентов крови (меньше/больше, визуальным требованиям, срокам годности)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.6.2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наличие системы регистрации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25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алгоритма вербального заказа на станции переливания крови/в банке крови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.6.3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алгоритма/памятки для персонала вербального заказа на станции переливания крови/в банке крови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2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.6.4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знания персонала, попросить продемонстрировать не менее 2-х сотрудников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735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.7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Наличие в МО специального </w:t>
            </w:r>
            <w:r w:rsidRPr="00C17313">
              <w:rPr>
                <w:sz w:val="24"/>
                <w:szCs w:val="24"/>
              </w:rPr>
              <w:lastRenderedPageBreak/>
              <w:t xml:space="preserve">оборудования/расходных материалов для профилактики осложнений 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lastRenderedPageBreak/>
              <w:t xml:space="preserve">Наличие устройств одноразового применения со </w:t>
            </w:r>
            <w:r w:rsidRPr="00C17313">
              <w:rPr>
                <w:sz w:val="24"/>
                <w:szCs w:val="24"/>
              </w:rPr>
              <w:lastRenderedPageBreak/>
              <w:t>встроенным микрофильтром, обеспечивающим удаление микроагрегатов диаметром более 30 мкм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C17313">
              <w:rPr>
                <w:sz w:val="24"/>
                <w:szCs w:val="24"/>
              </w:rPr>
              <w:t>.7.1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устройств в расчетном количестве для МО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303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Использование устройств во всех случаях в соответствии с клиническими рекомендациями/стандартами:</w:t>
            </w:r>
          </w:p>
          <w:p w:rsidR="00B6155C" w:rsidRPr="00C17313" w:rsidRDefault="00B6155C" w:rsidP="00983DA7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При трансфузии донорской крови и (или) ее компонентов, не подвергнутых лейкоредукции</w:t>
            </w:r>
          </w:p>
          <w:p w:rsidR="00B6155C" w:rsidRPr="00C17313" w:rsidRDefault="00B6155C" w:rsidP="00983DA7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При проведении множественных трансфузиях пациентам с отягощенным трансфузионным анамнезом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.7.2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факт использования устройств в случаях в соответствии с клиническими рекомендациями/ стандартами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10 ИБ (при наличии) со случаями трансфузии крови или компонентов, не подвергнутых лейкоредукции, проведении множественных трансфузий пациентам с отягощенным трансфузионных анамнезом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57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.8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Алгоритм обследования при поступлении 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Проведение обследования пациентов в лаборатории МО при поступлении в объеме:</w:t>
            </w:r>
          </w:p>
          <w:p w:rsidR="00B6155C" w:rsidRPr="00C17313" w:rsidRDefault="00B6155C" w:rsidP="00983DA7">
            <w:pPr>
              <w:numPr>
                <w:ilvl w:val="0"/>
                <w:numId w:val="4"/>
              </w:numPr>
              <w:tabs>
                <w:tab w:val="left" w:pos="337"/>
              </w:tabs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Первичное исследование групповой и резус-принадлежности крови у всех пациентов </w:t>
            </w:r>
          </w:p>
          <w:p w:rsidR="00B6155C" w:rsidRPr="00C17313" w:rsidRDefault="00B6155C" w:rsidP="00983DA7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Подтверждающее </w:t>
            </w:r>
            <w:r w:rsidRPr="00C17313">
              <w:rPr>
                <w:sz w:val="24"/>
                <w:szCs w:val="24"/>
              </w:rPr>
              <w:lastRenderedPageBreak/>
              <w:t>определение группы крови по системе АВО и резус-принадлежности у всех пациентов</w:t>
            </w:r>
          </w:p>
          <w:p w:rsidR="00B6155C" w:rsidRPr="00C17313" w:rsidRDefault="00B6155C" w:rsidP="00983DA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Фенотипирование по антигенам С, с, Е, е, Cw, К, k и определение антиэритроцитарных антител у реципиента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объем обследования пациентов при поступлении в объем, проверить не менее 10 ИБ из разных подразделений на предмет наличия: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5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983DA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.8.1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Исследование групповой и резус-принадлежности крови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5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983DA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.8.2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Подтверждающее определение группы крови по системе АВО и резус-принадлежности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5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983DA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.8.3</w:t>
            </w:r>
          </w:p>
          <w:p w:rsidR="00B6155C" w:rsidRPr="00260114" w:rsidRDefault="00B6155C" w:rsidP="00522164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не менее 10 ИБ пациентов, которым была проведена трансфузия крови и ее компонентов на предмет наличия: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Фенотипирование по антигенам С, с, Е, е, Cw, К, k и определение антиэритроцитарных антител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5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Наличие договора со сторонней лабораторией при отсутствии возможности проведения исследований в собственной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.8.4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Оценить систему проведения исследований при отсутствии возможности проведения всего объема в МО, проверить наличие договора с внешней лабораторией, оценить порядок отпра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и проб и получения результатов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Обеспечение безопасности при переливании крови и компонентов 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Исполнение алгоритма переливания крови и компонентов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алгоритма переливания крови и компонентов, и его соответствие клиническим рекомендациям/стандартам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знания персонала алгоритма, опросить не мене 5-ти сотрудников из разных подразделений МО,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 следующие этапы: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исполнение протокола методом наблюдения (при наличии возможности) или методом опроса сотрудников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В день трансфузии (или не ранее, чем за 24 часа до трансфузии) забор крови из вены - 2-3 мл в пробирку с антикоагулянтом и 3-5 мл в пробирку без антикоагулянта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4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9.9.5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Пробирки маркированы с указанием фамилии и инициалов реципиента, номера медицинской документации, наименования отделения, где проводится трансфузия, групповой и резус-принадлежности, даты взятия образца крови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4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.9.6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Трансфузия крови и/или эритроцитсодержащих компонентов начинается не позднее двух часов после извлечения из холодильного оборудования и согревания до 37 С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4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.9.7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Перед началом трансфузии медицинский работник проверяет герметичность контейнера и правильность паспортизации, проводит макроскопический осмотр контейнера с кровью и (или) ее компонентами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7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.9.8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Определяется группа крови реципиента (При переливании тромбоцитов – группа крови по системе АВО и резус-принадлежность реципиента)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4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.9.9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Определяется группа крови донора в контейнере по системе АВО (резус-принадлежность донора устанавливается по обозначению на контейнере)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65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.9.10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Проводится проба на индивидуальную совместимость крови реципиента и донора методами: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 плоскости при комнатной температуре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одной из трех проб (непрямая реакция Кумбса или ее аналоги, реакция конглютинации с 10% желатином или реакция конглютинации с 33% полиглюкином)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90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.9.11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реагенты для проведения проб на предмет сроков годности,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 соблюдение сроков после вскрытия (не более 4-х суток)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280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.9.12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Проводится биологическая проба (БП) (независимо от вида и объема донорской крови и (или) ее компонентов и скорости их введения, а также е случае индивидуально подобранных в клинико-диагностической лаборатории или фенотипированных эритроцитсодержащих компонентов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280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.9.13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При необходимости переливания нескольких доз компонентов донорской крови БП выполняется перед началом переливания каждой новой дозы компонента донорской крови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5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.9.14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Биологическая проба: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Переливание 10 мл донорской крови и (или) ее компонентов со скоростью 2-3 мл (40-60 капель) в минуту в течение 3-3,5 минут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В течение 3 минут наблюдение за состоянием реципиента, контроль: пульс, ЧДД, АД, общее состояние, цвет кожи, Т тела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Повторить процедуру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4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.9.15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Показания для прекращения трансфузии:</w:t>
            </w:r>
          </w:p>
          <w:p w:rsidR="00B6155C" w:rsidRPr="00C17313" w:rsidRDefault="00B6155C" w:rsidP="00983DA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 Любые клинические симптомы: озноб, боли в пояснице, чувства жара и стеснения в груди, </w:t>
            </w:r>
            <w:r w:rsidRPr="00C17313">
              <w:rPr>
                <w:sz w:val="24"/>
                <w:szCs w:val="24"/>
              </w:rPr>
              <w:lastRenderedPageBreak/>
              <w:t>головной боли, тошноты или рвоты</w:t>
            </w:r>
          </w:p>
          <w:p w:rsidR="00B6155C" w:rsidRPr="00C17313" w:rsidRDefault="00B6155C" w:rsidP="00983DA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Установление связи реакции или осложнения с трансфузией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418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.9.16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Признаки реакции или осложнения при трансфузии под наркозом: усиливающаяся без видимых причин кровоточивость в операционной ране, снижение АД, учащение пульса, изменение цвета мочи при катетеризации мочевого пузыря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4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.9.17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Вопрос о дальнейшей трансфузии решается консилиумом врачей с учетом клинических и лабораторных данных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14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.9.18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Реципиент соблюдает постельный режим в течение 2 часов. Проводится мониторинг состояния: Т тела, АД, пульс, диурез, цвет мочи с фиксацией в медицинской карте реципиента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.9.19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 следующий день после трансфузии донорской крови и (или) ее компонентов производится клинический анализ крови и мочи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94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.10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Обеспечение безопасности при переливании СЗП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и исполнение алгоритма переливания СЗП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.10.1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алгоритма переливания СЗП, и его соответствие клиническим рекомендациям/стандартам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9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.10.2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знания персонала алгоритма, опросить не мене 5-ти сотрудников из разных подразделений МО,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 следующие этапы: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9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.10.3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исполнение протокола методом наблюдения (при наличии возможности) или методом опроса </w:t>
            </w:r>
            <w:r w:rsidRPr="00C17313">
              <w:rPr>
                <w:sz w:val="24"/>
                <w:szCs w:val="24"/>
              </w:rPr>
              <w:lastRenderedPageBreak/>
              <w:t xml:space="preserve">сотрудников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9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.10.4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Используется только карантизированная СЗП- не &lt;180 суток с момента замораживания при температуре ниже минус 25°С.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9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.10.5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Для размораживания СЗП используется специальная аппаратура. Размораживание на «водяной бане» не допускается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9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.10.6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Перед трансфузией СЗП определяется группа крови реципиента по системе АВО, 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СЗП донора должна быть одногруппной по системе АВО с реципиентом.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9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.10.7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Разногруппность по системе резус не учитывается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9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.10.8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При переливании больших объемов СЗП (&gt; 1 л) соответствие по резусу учитывается обязательно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91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.11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Обеспечение безопасности при переливании тромбоцитов 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Наличие и исполнение алгоритма переливания тромбоцитов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.11.1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алгоритма переливания СЗП, и его соответствие клиническим рекомендациям/стандартам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9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знания персонала алгоритма, опросить не мене 5-ти сотрудников из разных подразделений МО,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 следующие этапы: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9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.11.2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Групповая и резус-принадлежность донора устанавливается по маркиро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 xml:space="preserve">е на контейнере с </w:t>
            </w:r>
            <w:r w:rsidRPr="00C17313">
              <w:rPr>
                <w:sz w:val="24"/>
                <w:szCs w:val="24"/>
              </w:rPr>
              <w:lastRenderedPageBreak/>
              <w:t>компонентом крови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9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.11.3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Пробы на индивидуальную совместимость не проводятся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c>
          <w:tcPr>
            <w:tcW w:w="817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Обеспечение безопасности при переливании криопреципитата 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Наличие и исполнение алгоритма переливания криопреципитата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.12.1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Проверяется соответствие группы донора и реципиента по системе АВО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31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.13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Обеспечение безопасности при трансфузии по жизненным показаниям 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и исполнение алгоритма экстренной трансфузии по жизненным показаниям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.13.1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алгоритма трансфузии по жизненным показаниям, и его соответствие клиническим рекомендациям/стандартам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28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.13.2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знания персонала алгоритма, опросить не менее 5-ти сотрудников из разных подразделений МО,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 следующие этапы: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71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Реципиентам с группой крови А(II) или В(III) при отсутствии одногруппной крови или компонентов могут быть перелиты резус-отрицательные компоненты O(I), а реципиентам AB(IV) могут быть перелиты резус-отрицательные компоненты В(III) независимо от резус-принадлежности реципиентов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26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.13.3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При невозможности определения группы крови по жизненным показаниям реципиенту переливают компоненты O(I) группы резус-отрицательные в количестве не более 500 мл независимо от групповой и резус-принадлежности реципиента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60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.13.4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При отсутствии одногруппной СЗП допускается переливание СЗП группы AB(IV) реципиенту с любой группой крови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5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.14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Оценка эффективности терапии 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Наличие согласованных показателей эффективности терапии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.14.1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наличие перечня показателей эффективности терапии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5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.14.2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знания персонала, опросить не менее 5-ти сотрудников из разных подразделений МО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96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Сбор показателей эффективности в соответствии с алгоритмами МО, фиксация в историях болезни, анализ,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 xml:space="preserve">лючая: </w:t>
            </w:r>
          </w:p>
          <w:p w:rsidR="00B6155C" w:rsidRPr="00C17313" w:rsidRDefault="00B6155C" w:rsidP="00983DA7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Клинические данные</w:t>
            </w:r>
          </w:p>
          <w:p w:rsidR="00B6155C" w:rsidRPr="00C17313" w:rsidRDefault="00B6155C" w:rsidP="00983DA7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Результаты лабораторных исследований 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.14.3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процесс оценки эффективности терапии, проверить не менее 10 ИБ пациентов, которым была проведена трансфузия крови компонентов на предмет наличия показателей и их анализа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284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.15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Обеспечение безопасности при подборе компонентов крови особым группам реципиентов 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Наличие и исполнение алгоритма подбора компонентов крови в особых случаях,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 реципиентов, имеющим:</w:t>
            </w:r>
          </w:p>
          <w:p w:rsidR="00B6155C" w:rsidRPr="00C17313" w:rsidRDefault="00B6155C" w:rsidP="00983DA7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в анамнезе посттрансфузионные осложнения</w:t>
            </w:r>
          </w:p>
          <w:p w:rsidR="00B6155C" w:rsidRPr="00C17313" w:rsidRDefault="00B6155C" w:rsidP="00983DA7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lastRenderedPageBreak/>
              <w:t>беременность, рождение детей с гемолитической болезнью новорожденного</w:t>
            </w:r>
          </w:p>
          <w:p w:rsidR="00B6155C" w:rsidRPr="00C17313" w:rsidRDefault="00B6155C" w:rsidP="00983DA7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аллоиммунные антитела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C17313">
              <w:rPr>
                <w:sz w:val="24"/>
                <w:szCs w:val="24"/>
              </w:rPr>
              <w:t>.15.1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алгоритма подбора компонентов крови особым группам реципиентов и его соответствие клиническим рекомендациям/стандартам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28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.15.2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Оценить знания персонала, опросить не мене 5-ти сотрудников из разных подразделений МО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28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.15.3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не менее 5 историй (при наличии) пациентов, которым была проведена трансфузия на фоне: </w:t>
            </w:r>
          </w:p>
          <w:p w:rsidR="00B6155C" w:rsidRPr="00C17313" w:rsidRDefault="00B6155C" w:rsidP="00983DA7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наличия в анамнезе посттрансфузионных осложнений</w:t>
            </w:r>
          </w:p>
          <w:p w:rsidR="00B6155C" w:rsidRPr="00C17313" w:rsidRDefault="00B6155C" w:rsidP="00983DA7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беременности, рождения детей с гемолитической болезнью новорожденного</w:t>
            </w:r>
          </w:p>
          <w:p w:rsidR="00B6155C" w:rsidRPr="00C17313" w:rsidRDefault="00B6155C" w:rsidP="00983DA7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наличия аллоиммунных антител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1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договора со сторонней лабораторией при отсутствии возможности проведения исследований в собственной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.15.4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Оценить систему проведения исследований при отсутствии возможности проведения всего объема в МО, проверить наличие договора с внешней лабораторией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53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.16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Ведение медицинской документации 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во всех медицинских документах: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не менее 10 ИБ пациентов на предмет наличия следующей информации: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34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Информация о группе крови и резус-факторе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.16.1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Группа крови резус-фактор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6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Анамнез (трансфузионный)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.16.2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Трансфузионный анамнез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35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Информированное согласие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.16.3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Информированное согласие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7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стандартных бланков переливания, заполненных четко и полностью: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не менее 10 ИБ пациентов, которым была проведена трансфузия крови и компонентов,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лючая: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68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.16.4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Медицинские показания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5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.16.5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Паспортные данные контейнера (или копия)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2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.16.6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Результаты контрольной проверки группы крови реципиента по системе АВО с указанием сведений (наименование, производитель, серия, срок годности) об используемых реактивах (реагентах)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2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.16.7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Результаты контрольной проверки группы донорской крови или ее компонентов, взятых из контейнера, по системе АВО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2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.16.8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Результаты проб на индивидуальную совместимость крови донора и реципиента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2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.16.9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Результата биологической пробы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128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.16.10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Запись в медицинской документации, отражающей состояние здоровья реципиента, оформляется протоколом трансфузии (переливания) донорской крови и (или) ее компонентов по единому образцу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93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.17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Система информирования пациентов 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Предоставление пациентам полной и точной информации о трансфузии, рисках и преимуществах, альтернативных методах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.17.1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Оценить качество информирования пациентов, опросить не менее 10 пациентов после трансфузии в различных подразделениях на предмет информирования их персоналом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9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информационных материалов по вопросам донорства, переливании крови и компонентов (постеры, брошюры, памятки и др.)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.17.2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информационных материалов для пациентов по вопросам переливания крови компонентов во всех подразделениях МО, оценить их качество, в том числе соответствие клиническим рекомендациям, стандартам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76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C17313">
              <w:rPr>
                <w:sz w:val="24"/>
                <w:szCs w:val="24"/>
              </w:rPr>
              <w:t>.18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Система регистрации случаев реакций и осложнений, возникших в связи с трансфузией донорской крови и (или) ее компонентов 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в МО ответственных за регистрацию случаев реакций и осложнений, возникших в связи с трансфузией донорской крови и (или) ее компонентов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.18.1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наличие ответственного/ответственных (ФИО, должность)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7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Наличие стандартных уведомлений, подающихся руководителю организации, которая заготовила и поставила донорскую кровь и (или) ее компоненты 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.18.2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уведомлений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7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.18.3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навыки персонала по заполнению уведомлений, попросить ответственных сотрудников заполнить уведомление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35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и исполнение алгоритма действий в случае реакции и осложнений, возникших в связи с трансфузией донорской крови и (или) ее компонентов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: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.18.4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знания персонала, опросить не менее 5 сотрудников из различных подразделений МО,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 xml:space="preserve">лючая следующие этапы: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394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.18.5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После окончания трансфузии контейнер с оставшейся донорской кровью и (или) ее компонентами (5 мл), а также пробирка с кровью реципиента, использованная для проведения проб на индивидуальную совместимость, сохраняются в течение 48 часов при температуре 2-6 С в холодильнике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91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.18.6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Оставшаяся часть донорской крови и (или) ее компонентов передается в организацию, которая ее заготовила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49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.18.7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Туда же передаются образцы крови реципиента, взятые до и после трансфузии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408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Регулярный аудит случаев, разработка предложений по улучшению системы безопасности при переливании крови и компонентов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.18.8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Оценить систему аудита: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наличие отчетов о результатах аудитов/регулярность проведения 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планов по устранению дефектов /ответственные/сроки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312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.19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Внедрение методов аутодонорства компонентов крови и аутогемотрансфузи</w:t>
            </w:r>
            <w:r>
              <w:rPr>
                <w:sz w:val="24"/>
                <w:szCs w:val="24"/>
              </w:rPr>
              <w:t>и</w:t>
            </w:r>
            <w:r w:rsidRPr="00C17313">
              <w:rPr>
                <w:sz w:val="24"/>
                <w:szCs w:val="24"/>
              </w:rPr>
              <w:t xml:space="preserve"> в отделениях соответствующего профиля 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В МО внедрены методики компонентов крови и аутогемотрансфузии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.19.1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внедрение в МО новых технологий,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лючая: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0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Предоперационная загото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а аутокомпонентов крови (аутоплазмы и аутоэритроцитов)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0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Предоперационная нормоволемическая или гиперволемическая гемодилюция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31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Интраоперационная аппаратная реинфузия крови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306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Трансфузия (переливание) дренажной крови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31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.20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Обеспечение безопасности при проведении аутотрансфузии крови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и исполнение алгоритма проведении аутотрансфузии крови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.20.1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алгоритма проведения аутотрансфузии крови и его соответствие клиническим рекомендациям/стандартам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.20.2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знания персонала алгоритма, опросить не мене 5-ти сотрудников из разных подразделений МО,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 следующие этапы: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исполнение протокола методом наблюдения (при наличии возможности) или методом опроса </w:t>
            </w:r>
            <w:r w:rsidRPr="00C17313">
              <w:rPr>
                <w:sz w:val="24"/>
                <w:szCs w:val="24"/>
              </w:rPr>
              <w:lastRenderedPageBreak/>
              <w:t xml:space="preserve">сотрудников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.20.3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Оформление информированного согласия на загото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у аутокрови или ее компонентов, которое фиксируется в медицинской документации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.20.4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Предоперационная загото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а аутокрови или ее компонентов осуществляется при уровне гемоглобина не ниже 110 г/л, гематокрита - не ниже 33%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.20.5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Последняя аутодонация осуществляется не менее чем за 3 суток до начала оперативного вмешательства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53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.20.6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При нормоволемической гемодилюции постгемодилюционный уровень гемоглобина не должен быть ниже 90 - 100 г/л, а уровень гематокрита не должен быть менее 28%; при гиперволемической гемодилюции поддерживается уровень гематокрита в пределах 23 - 25%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860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.20.7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Интервал между эксфузией и реинфузией при проведении гемодилюции не должен быть более 6 часов. В противном случае контейнеры с кровью помещаются в холодильное оборудование при температуре 4 - 6 °C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917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.20.8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Определен алгоритм отказа от интраоперационной реинфузии крови при подозрении на наличие бактериального загрязнения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1151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.20.9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Перед трансфузией аутологичной крови и ее компонентов выполняется проба на совместимость с реципиентом и биологическая проба, как и в случае применения компонентов аллогенной крови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18"/>
        </w:trPr>
        <w:tc>
          <w:tcPr>
            <w:tcW w:w="817" w:type="dxa"/>
            <w:vMerge w:val="restart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.21</w:t>
            </w:r>
          </w:p>
        </w:tc>
        <w:tc>
          <w:tcPr>
            <w:tcW w:w="2268" w:type="dxa"/>
            <w:vMerge w:val="restart"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Система утилизации крови и компонентов с истекшим сроком годности 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Осуществление регулярного контроля сроков годности крови и препаратов /плановые и внеплановые проверки/журнал/отчеты, 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Отчеты о результатах/принятые решения 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Планы по устранению дефектов /ответственные/сроки 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 Информирование персонала годности 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.21.1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систему контроля сроков годности, </w:t>
            </w:r>
            <w:r>
              <w:rPr>
                <w:sz w:val="24"/>
                <w:szCs w:val="24"/>
              </w:rPr>
              <w:t>вк</w:t>
            </w:r>
            <w:r w:rsidRPr="00C17313">
              <w:rPr>
                <w:sz w:val="24"/>
                <w:szCs w:val="24"/>
              </w:rPr>
              <w:t>лючая:</w:t>
            </w:r>
          </w:p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Регулярность плановых проверок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18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.21.2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Проведение внеплановых проверок (количество за полный последний год)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18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.21.3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отчетов по результатам проверок, журналов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18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.21.4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Проверить наличие и оценить планы по устранению дефектов /ответственные/сроки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735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6155C" w:rsidRPr="00260114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.21.5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Оценить систему информирования, опросить не менее 5 сотрудников из разных подразделений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618"/>
        </w:trPr>
        <w:tc>
          <w:tcPr>
            <w:tcW w:w="817" w:type="dxa"/>
            <w:vMerge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Наличие и исполнение алгоритма утилизации крови ее компонентов при истечении сроков годности</w:t>
            </w:r>
          </w:p>
        </w:tc>
        <w:tc>
          <w:tcPr>
            <w:tcW w:w="116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.21.6</w:t>
            </w:r>
          </w:p>
        </w:tc>
        <w:tc>
          <w:tcPr>
            <w:tcW w:w="5783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Проверить наличие алгоритма   </w:t>
            </w: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5C" w:rsidRPr="00C17313" w:rsidTr="00522164">
        <w:trPr>
          <w:trHeight w:val="494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17313">
              <w:rPr>
                <w:sz w:val="24"/>
                <w:szCs w:val="24"/>
              </w:rPr>
              <w:t>.21.7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>Оценить знания персонала, опросить не менее 2-х ответственных сотрудников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155C" w:rsidRPr="00C17313" w:rsidRDefault="00B6155C" w:rsidP="0052216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B6155C" w:rsidRPr="00C17313" w:rsidRDefault="00B6155C" w:rsidP="00B6155C">
      <w:pPr>
        <w:suppressAutoHyphens/>
        <w:spacing w:line="240" w:lineRule="auto"/>
        <w:contextualSpacing/>
        <w:jc w:val="both"/>
      </w:pPr>
    </w:p>
    <w:tbl>
      <w:tblPr>
        <w:tblStyle w:val="170"/>
        <w:tblW w:w="14879" w:type="dxa"/>
        <w:tblLook w:val="04A0"/>
      </w:tblPr>
      <w:tblGrid>
        <w:gridCol w:w="6516"/>
        <w:gridCol w:w="8363"/>
      </w:tblGrid>
      <w:tr w:rsidR="00B6155C" w:rsidRPr="00AF2174" w:rsidTr="00522164">
        <w:tc>
          <w:tcPr>
            <w:tcW w:w="6516" w:type="dxa"/>
          </w:tcPr>
          <w:p w:rsidR="00B6155C" w:rsidRPr="00AF2174" w:rsidRDefault="00B6155C" w:rsidP="00522164">
            <w:pPr>
              <w:suppressAutoHyphens/>
              <w:rPr>
                <w:b/>
                <w:sz w:val="24"/>
                <w:szCs w:val="24"/>
              </w:rPr>
            </w:pPr>
            <w:r w:rsidRPr="00AF2174">
              <w:rPr>
                <w:b/>
                <w:sz w:val="24"/>
                <w:szCs w:val="24"/>
              </w:rPr>
              <w:t xml:space="preserve">Количественные показатели </w:t>
            </w:r>
          </w:p>
        </w:tc>
        <w:tc>
          <w:tcPr>
            <w:tcW w:w="8363" w:type="dxa"/>
          </w:tcPr>
          <w:p w:rsidR="00B6155C" w:rsidRPr="00AF2174" w:rsidRDefault="00B6155C" w:rsidP="00522164">
            <w:pPr>
              <w:suppressAutoHyphens/>
              <w:rPr>
                <w:b/>
                <w:sz w:val="24"/>
                <w:szCs w:val="24"/>
              </w:rPr>
            </w:pPr>
            <w:r w:rsidRPr="00AF2174">
              <w:rPr>
                <w:b/>
                <w:sz w:val="24"/>
                <w:szCs w:val="24"/>
              </w:rPr>
              <w:t xml:space="preserve">Расчет </w:t>
            </w:r>
          </w:p>
        </w:tc>
      </w:tr>
      <w:tr w:rsidR="00B6155C" w:rsidRPr="00C17313" w:rsidTr="00522164">
        <w:tc>
          <w:tcPr>
            <w:tcW w:w="6516" w:type="dxa"/>
          </w:tcPr>
          <w:p w:rsidR="00B6155C" w:rsidRPr="00C17313" w:rsidRDefault="00B6155C" w:rsidP="00522164">
            <w:pPr>
              <w:suppressAutoHyphens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lastRenderedPageBreak/>
              <w:t>Частота реакций и осложнений, возникших в связи с трансфузией донорской крови и (или) ее компонентов</w:t>
            </w:r>
          </w:p>
        </w:tc>
        <w:tc>
          <w:tcPr>
            <w:tcW w:w="8363" w:type="dxa"/>
          </w:tcPr>
          <w:p w:rsidR="00B6155C" w:rsidRPr="00C17313" w:rsidRDefault="00B6155C" w:rsidP="00522164">
            <w:pPr>
              <w:suppressAutoHyphens/>
              <w:rPr>
                <w:sz w:val="24"/>
                <w:szCs w:val="24"/>
              </w:rPr>
            </w:pPr>
            <w:r w:rsidRPr="00C17313">
              <w:rPr>
                <w:sz w:val="24"/>
                <w:szCs w:val="24"/>
              </w:rPr>
              <w:t xml:space="preserve">/1000 трансфузий </w:t>
            </w:r>
          </w:p>
        </w:tc>
      </w:tr>
    </w:tbl>
    <w:p w:rsidR="00B6155C" w:rsidRPr="00C17313" w:rsidRDefault="00B6155C" w:rsidP="00B6155C">
      <w:pPr>
        <w:suppressAutoHyphens/>
        <w:spacing w:line="240" w:lineRule="auto"/>
        <w:contextualSpacing/>
        <w:jc w:val="both"/>
      </w:pPr>
    </w:p>
    <w:p w:rsidR="00B6155C" w:rsidRPr="00C17313" w:rsidRDefault="00B6155C" w:rsidP="00B6155C">
      <w:pPr>
        <w:suppressAutoHyphens/>
        <w:spacing w:line="240" w:lineRule="auto"/>
        <w:contextualSpacing/>
        <w:jc w:val="both"/>
      </w:pPr>
    </w:p>
    <w:p w:rsidR="00DC3C12" w:rsidRDefault="00DC3C12"/>
    <w:sectPr w:rsidR="00DC3C12" w:rsidSect="00B615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DA7" w:rsidRDefault="00983DA7" w:rsidP="00B6155C">
      <w:pPr>
        <w:spacing w:after="0" w:line="240" w:lineRule="auto"/>
      </w:pPr>
      <w:r>
        <w:separator/>
      </w:r>
    </w:p>
  </w:endnote>
  <w:endnote w:type="continuationSeparator" w:id="1">
    <w:p w:rsidR="00983DA7" w:rsidRDefault="00983DA7" w:rsidP="00B6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DA7" w:rsidRDefault="00983DA7" w:rsidP="00B6155C">
      <w:pPr>
        <w:spacing w:after="0" w:line="240" w:lineRule="auto"/>
      </w:pPr>
      <w:r>
        <w:separator/>
      </w:r>
    </w:p>
  </w:footnote>
  <w:footnote w:type="continuationSeparator" w:id="1">
    <w:p w:rsidR="00983DA7" w:rsidRDefault="00983DA7" w:rsidP="00B6155C">
      <w:pPr>
        <w:spacing w:after="0" w:line="240" w:lineRule="auto"/>
      </w:pPr>
      <w:r>
        <w:continuationSeparator/>
      </w:r>
    </w:p>
  </w:footnote>
  <w:footnote w:id="2">
    <w:p w:rsidR="00B6155C" w:rsidRDefault="00B6155C" w:rsidP="00B6155C">
      <w:pPr>
        <w:pStyle w:val="a5"/>
      </w:pPr>
      <w:r>
        <w:rPr>
          <w:rStyle w:val="a7"/>
        </w:rPr>
        <w:footnoteRef/>
      </w:r>
      <w:r>
        <w:t xml:space="preserve"> Пашкова И.А. , Обеспечение качества гемотрансфузионной терапии в многопрофильном стационаре при оказании больным высокотехнологичной хирургической помощи, дисс. на соискание ученой степени д.м.н., Санкт-Петербург- 2014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7B5"/>
    <w:multiLevelType w:val="hybridMultilevel"/>
    <w:tmpl w:val="69C4FF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0773D"/>
    <w:multiLevelType w:val="hybridMultilevel"/>
    <w:tmpl w:val="72EC4C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7F636D"/>
    <w:multiLevelType w:val="hybridMultilevel"/>
    <w:tmpl w:val="2D521F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FD6997"/>
    <w:multiLevelType w:val="hybridMultilevel"/>
    <w:tmpl w:val="047437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21678E"/>
    <w:multiLevelType w:val="hybridMultilevel"/>
    <w:tmpl w:val="183623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011E7B"/>
    <w:multiLevelType w:val="hybridMultilevel"/>
    <w:tmpl w:val="8A1AA0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55C"/>
    <w:rsid w:val="001D02B6"/>
    <w:rsid w:val="00983DA7"/>
    <w:rsid w:val="00B6155C"/>
    <w:rsid w:val="00DC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5C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1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1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15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B615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615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15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6155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6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1"/>
    <w:uiPriority w:val="99"/>
    <w:rsid w:val="00B6155C"/>
    <w:rPr>
      <w:rFonts w:ascii="Times New Roman" w:hAnsi="Times New Roman" w:cs="Times New Roman"/>
      <w:sz w:val="24"/>
      <w:szCs w:val="24"/>
    </w:rPr>
  </w:style>
  <w:style w:type="paragraph" w:customStyle="1" w:styleId="12">
    <w:name w:val="Текст сноски1"/>
    <w:basedOn w:val="a"/>
    <w:next w:val="a5"/>
    <w:link w:val="a6"/>
    <w:uiPriority w:val="99"/>
    <w:unhideWhenUsed/>
    <w:rsid w:val="00B6155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2"/>
    <w:uiPriority w:val="99"/>
    <w:rsid w:val="00B6155C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6155C"/>
    <w:rPr>
      <w:vertAlign w:val="superscript"/>
    </w:rPr>
  </w:style>
  <w:style w:type="table" w:styleId="a8">
    <w:name w:val="Table Grid"/>
    <w:basedOn w:val="a1"/>
    <w:rsid w:val="00B61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B6155C"/>
    <w:rPr>
      <w:sz w:val="16"/>
      <w:szCs w:val="16"/>
    </w:rPr>
  </w:style>
  <w:style w:type="paragraph" w:customStyle="1" w:styleId="13">
    <w:name w:val="Текст примечания1"/>
    <w:basedOn w:val="a"/>
    <w:next w:val="aa"/>
    <w:link w:val="ab"/>
    <w:uiPriority w:val="99"/>
    <w:semiHidden/>
    <w:unhideWhenUsed/>
    <w:rsid w:val="00B6155C"/>
    <w:pPr>
      <w:spacing w:after="20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13"/>
    <w:uiPriority w:val="99"/>
    <w:semiHidden/>
    <w:rsid w:val="00B6155C"/>
    <w:rPr>
      <w:rFonts w:ascii="Times New Roman" w:hAnsi="Times New Roman" w:cs="Times New Roman"/>
      <w:sz w:val="20"/>
      <w:szCs w:val="20"/>
    </w:rPr>
  </w:style>
  <w:style w:type="paragraph" w:styleId="a3">
    <w:name w:val="footer"/>
    <w:basedOn w:val="a"/>
    <w:link w:val="14"/>
    <w:uiPriority w:val="99"/>
    <w:unhideWhenUsed/>
    <w:rsid w:val="00B6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3"/>
    <w:uiPriority w:val="99"/>
    <w:rsid w:val="00B6155C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15"/>
    <w:uiPriority w:val="99"/>
    <w:unhideWhenUsed/>
    <w:rsid w:val="00B6155C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5"/>
    <w:uiPriority w:val="99"/>
    <w:rsid w:val="00B6155C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"/>
    <w:link w:val="16"/>
    <w:uiPriority w:val="99"/>
    <w:semiHidden/>
    <w:unhideWhenUsed/>
    <w:rsid w:val="00B6155C"/>
    <w:pPr>
      <w:spacing w:line="240" w:lineRule="auto"/>
    </w:pPr>
    <w:rPr>
      <w:sz w:val="20"/>
      <w:szCs w:val="20"/>
    </w:rPr>
  </w:style>
  <w:style w:type="character" w:customStyle="1" w:styleId="16">
    <w:name w:val="Текст примечания Знак1"/>
    <w:basedOn w:val="a0"/>
    <w:link w:val="aa"/>
    <w:uiPriority w:val="99"/>
    <w:semiHidden/>
    <w:rsid w:val="00B6155C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6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155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qFormat/>
    <w:rsid w:val="00B6155C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B6155C"/>
    <w:rPr>
      <w:color w:val="0000FF" w:themeColor="hyperlink"/>
      <w:u w:val="single"/>
    </w:rPr>
  </w:style>
  <w:style w:type="table" w:customStyle="1" w:styleId="17">
    <w:name w:val="Сетка таблицы1"/>
    <w:basedOn w:val="a1"/>
    <w:next w:val="a8"/>
    <w:uiPriority w:val="39"/>
    <w:rsid w:val="00B6155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B6155C"/>
  </w:style>
  <w:style w:type="table" w:customStyle="1" w:styleId="5">
    <w:name w:val="Сетка таблицы5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B6155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B6155C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f2">
    <w:name w:val="Верхний колонтитул Знак"/>
    <w:basedOn w:val="a0"/>
    <w:link w:val="af1"/>
    <w:uiPriority w:val="99"/>
    <w:rsid w:val="00B6155C"/>
  </w:style>
  <w:style w:type="character" w:styleId="af3">
    <w:name w:val="FollowedHyperlink"/>
    <w:basedOn w:val="a0"/>
    <w:uiPriority w:val="99"/>
    <w:semiHidden/>
    <w:unhideWhenUsed/>
    <w:rsid w:val="00B6155C"/>
    <w:rPr>
      <w:color w:val="800080" w:themeColor="followedHyperlink"/>
      <w:u w:val="single"/>
    </w:rPr>
  </w:style>
  <w:style w:type="table" w:customStyle="1" w:styleId="6">
    <w:name w:val="Сетка таблицы6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B6155C"/>
  </w:style>
  <w:style w:type="table" w:customStyle="1" w:styleId="110">
    <w:name w:val="Сетка таблицы11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 светлая1"/>
    <w:basedOn w:val="a1"/>
    <w:uiPriority w:val="40"/>
    <w:rsid w:val="00B615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6155C"/>
  </w:style>
  <w:style w:type="table" w:customStyle="1" w:styleId="130">
    <w:name w:val="Сетка таблицы13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8"/>
    <w:uiPriority w:val="39"/>
    <w:rsid w:val="00B6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OC Heading"/>
    <w:basedOn w:val="1"/>
    <w:next w:val="a"/>
    <w:uiPriority w:val="39"/>
    <w:unhideWhenUsed/>
    <w:qFormat/>
    <w:rsid w:val="00B6155C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a">
    <w:name w:val="toc 1"/>
    <w:basedOn w:val="a"/>
    <w:next w:val="a"/>
    <w:autoRedefine/>
    <w:uiPriority w:val="39"/>
    <w:unhideWhenUsed/>
    <w:rsid w:val="00B6155C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6155C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B6155C"/>
    <w:pPr>
      <w:spacing w:after="100"/>
      <w:ind w:left="480"/>
    </w:pPr>
  </w:style>
  <w:style w:type="paragraph" w:styleId="af5">
    <w:name w:val="No Spacing"/>
    <w:link w:val="af6"/>
    <w:uiPriority w:val="1"/>
    <w:qFormat/>
    <w:rsid w:val="00B6155C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basedOn w:val="a0"/>
    <w:link w:val="af5"/>
    <w:uiPriority w:val="1"/>
    <w:rsid w:val="00B6155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3822</Words>
  <Characters>21791</Characters>
  <Application>Microsoft Office Word</Application>
  <DocSecurity>0</DocSecurity>
  <Lines>181</Lines>
  <Paragraphs>51</Paragraphs>
  <ScaleCrop>false</ScaleCrop>
  <Company/>
  <LinksUpToDate>false</LinksUpToDate>
  <CharactersWithSpaces>25562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eklyueva</dc:creator>
  <cp:lastModifiedBy>eklyueva</cp:lastModifiedBy>
  <cp:revision>2</cp:revision>
  <dcterms:created xsi:type="dcterms:W3CDTF">2017-03-29T09:46:00Z</dcterms:created>
  <dcterms:modified xsi:type="dcterms:W3CDTF">2017-03-29T09:49:00Z</dcterms:modified>
</cp:coreProperties>
</file>